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13" w:rsidRDefault="002527B5" w:rsidP="00852513">
      <w:pPr>
        <w:spacing w:line="3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pt;margin-top:-25.95pt;width:50.25pt;height:63pt;z-index:251659264" fillcolor="window">
            <v:imagedata r:id="rId6" o:title=""/>
          </v:shape>
          <o:OLEObject Type="Embed" ProgID="Word.Picture.8" ShapeID="_x0000_s1027" DrawAspect="Content" ObjectID="_1576046611" r:id="rId7"/>
        </w:pict>
      </w:r>
    </w:p>
    <w:p w:rsidR="00852513" w:rsidRDefault="00852513" w:rsidP="00852513">
      <w:pPr>
        <w:spacing w:line="360" w:lineRule="exact"/>
        <w:jc w:val="center"/>
        <w:rPr>
          <w:caps/>
          <w:sz w:val="28"/>
          <w:szCs w:val="28"/>
        </w:rPr>
      </w:pPr>
    </w:p>
    <w:p w:rsidR="00852513" w:rsidRDefault="00852513" w:rsidP="00852513">
      <w:pPr>
        <w:spacing w:line="360" w:lineRule="exact"/>
        <w:jc w:val="center"/>
        <w:rPr>
          <w:caps/>
          <w:sz w:val="28"/>
          <w:szCs w:val="28"/>
        </w:rPr>
      </w:pPr>
    </w:p>
    <w:p w:rsidR="00852513" w:rsidRPr="00BA2F25" w:rsidRDefault="00852513" w:rsidP="00852513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852513" w:rsidRDefault="00852513" w:rsidP="00852513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852513" w:rsidRDefault="00852513" w:rsidP="00852513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852513" w:rsidRDefault="00852513" w:rsidP="00852513">
      <w:pPr>
        <w:spacing w:line="480" w:lineRule="exact"/>
        <w:rPr>
          <w:sz w:val="28"/>
          <w:szCs w:val="28"/>
        </w:rPr>
      </w:pPr>
      <w:bookmarkStart w:id="0" w:name="_GoBack"/>
      <w:bookmarkEnd w:id="0"/>
    </w:p>
    <w:p w:rsidR="00852513" w:rsidRDefault="00852513" w:rsidP="00852513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F0A12">
        <w:rPr>
          <w:sz w:val="28"/>
          <w:szCs w:val="28"/>
        </w:rPr>
        <w:t>28</w:t>
      </w:r>
      <w:r>
        <w:rPr>
          <w:sz w:val="28"/>
          <w:szCs w:val="28"/>
        </w:rPr>
        <w:t xml:space="preserve">  </w:t>
      </w:r>
      <w:r w:rsidR="003F28C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</w:t>
      </w:r>
      <w:r w:rsidR="00EF0A12">
        <w:rPr>
          <w:sz w:val="28"/>
          <w:szCs w:val="28"/>
        </w:rPr>
        <w:t>954</w:t>
      </w:r>
    </w:p>
    <w:p w:rsidR="00852513" w:rsidRDefault="00852513" w:rsidP="00852513">
      <w:pPr>
        <w:spacing w:line="480" w:lineRule="exact"/>
        <w:jc w:val="center"/>
      </w:pPr>
      <w:r w:rsidRPr="00B07D89">
        <w:t>г. Архангельск</w:t>
      </w:r>
    </w:p>
    <w:p w:rsidR="008507AE" w:rsidRPr="00905B07" w:rsidRDefault="008507AE" w:rsidP="008507AE">
      <w:pPr>
        <w:spacing w:line="480" w:lineRule="exact"/>
        <w:rPr>
          <w:sz w:val="28"/>
        </w:rPr>
      </w:pPr>
    </w:p>
    <w:p w:rsidR="008507AE" w:rsidRPr="00905B07" w:rsidRDefault="008507AE" w:rsidP="00BB45F2">
      <w:pPr>
        <w:pStyle w:val="a5"/>
      </w:pPr>
      <w:r w:rsidRPr="007506F9">
        <w:t>Об утв</w:t>
      </w:r>
      <w:r>
        <w:t xml:space="preserve">ерждении </w:t>
      </w:r>
      <w:r w:rsidR="00BB45F2">
        <w:rPr>
          <w:szCs w:val="28"/>
        </w:rPr>
        <w:t xml:space="preserve">Порядка консолидации в </w:t>
      </w:r>
      <w:r w:rsidR="00466C2D">
        <w:rPr>
          <w:szCs w:val="28"/>
        </w:rPr>
        <w:t xml:space="preserve">районном </w:t>
      </w:r>
      <w:r w:rsidR="00BB45F2">
        <w:rPr>
          <w:szCs w:val="28"/>
        </w:rPr>
        <w:t xml:space="preserve">бюджете бюджетных средств, сэкономленных </w:t>
      </w:r>
      <w:r w:rsidR="005E29A3">
        <w:rPr>
          <w:szCs w:val="28"/>
        </w:rPr>
        <w:t>муниципальными</w:t>
      </w:r>
      <w:r w:rsidR="00BB45F2">
        <w:rPr>
          <w:szCs w:val="28"/>
        </w:rPr>
        <w:t xml:space="preserve"> заказчиками при осуществлении закупок товаров, работ, услуг для </w:t>
      </w:r>
      <w:r w:rsidR="0044405D">
        <w:rPr>
          <w:szCs w:val="28"/>
        </w:rPr>
        <w:t xml:space="preserve">муниципальных </w:t>
      </w:r>
      <w:r w:rsidR="00BB45F2">
        <w:rPr>
          <w:szCs w:val="28"/>
        </w:rPr>
        <w:t xml:space="preserve">нужд </w:t>
      </w:r>
    </w:p>
    <w:p w:rsidR="008507AE" w:rsidRPr="00905B07" w:rsidRDefault="008507AE" w:rsidP="008507AE">
      <w:pPr>
        <w:pStyle w:val="a5"/>
      </w:pPr>
    </w:p>
    <w:p w:rsidR="008507AE" w:rsidRPr="00905B07" w:rsidRDefault="008507AE" w:rsidP="008507AE">
      <w:pPr>
        <w:pStyle w:val="2"/>
        <w:spacing w:line="360" w:lineRule="exact"/>
        <w:ind w:firstLine="357"/>
        <w:jc w:val="center"/>
        <w:rPr>
          <w:b/>
          <w:sz w:val="28"/>
          <w:szCs w:val="28"/>
        </w:rPr>
      </w:pPr>
    </w:p>
    <w:p w:rsidR="008507AE" w:rsidRPr="00905B07" w:rsidRDefault="008507AE" w:rsidP="008507AE">
      <w:pPr>
        <w:spacing w:line="360" w:lineRule="exact"/>
        <w:ind w:right="179" w:firstLine="720"/>
        <w:jc w:val="both"/>
        <w:rPr>
          <w:spacing w:val="60"/>
          <w:sz w:val="28"/>
          <w:szCs w:val="28"/>
        </w:rPr>
      </w:pPr>
      <w:r w:rsidRPr="00905B07">
        <w:rPr>
          <w:sz w:val="28"/>
          <w:szCs w:val="28"/>
        </w:rPr>
        <w:t>В соответствии с</w:t>
      </w:r>
      <w:r w:rsidR="00F75131">
        <w:rPr>
          <w:sz w:val="28"/>
          <w:szCs w:val="28"/>
        </w:rPr>
        <w:t xml:space="preserve"> пунктами 1 и 2 </w:t>
      </w:r>
      <w:r w:rsidRPr="00905B07">
        <w:rPr>
          <w:sz w:val="28"/>
          <w:szCs w:val="28"/>
        </w:rPr>
        <w:t>стать</w:t>
      </w:r>
      <w:r w:rsidR="00F75131">
        <w:rPr>
          <w:sz w:val="28"/>
          <w:szCs w:val="28"/>
        </w:rPr>
        <w:t>и</w:t>
      </w:r>
      <w:r w:rsidRPr="00905B07">
        <w:rPr>
          <w:sz w:val="28"/>
          <w:szCs w:val="28"/>
        </w:rPr>
        <w:t xml:space="preserve"> 154 Бюджетного кодекса Российской Федерации администрация муниципального образования</w:t>
      </w:r>
      <w:r w:rsidR="00160EF4">
        <w:rPr>
          <w:sz w:val="28"/>
          <w:szCs w:val="28"/>
        </w:rPr>
        <w:t xml:space="preserve"> «Приморский муниципальный район»</w:t>
      </w:r>
      <w:r w:rsidRPr="00905B07">
        <w:rPr>
          <w:sz w:val="28"/>
          <w:szCs w:val="28"/>
        </w:rPr>
        <w:t xml:space="preserve"> постановляет</w:t>
      </w:r>
      <w:r w:rsidRPr="00905B07">
        <w:rPr>
          <w:spacing w:val="60"/>
          <w:sz w:val="28"/>
          <w:szCs w:val="28"/>
        </w:rPr>
        <w:t>:</w:t>
      </w:r>
    </w:p>
    <w:p w:rsidR="008507AE" w:rsidRPr="005E29A3" w:rsidRDefault="008507AE" w:rsidP="008507AE">
      <w:pPr>
        <w:pStyle w:val="2"/>
        <w:tabs>
          <w:tab w:val="left" w:pos="1134"/>
        </w:tabs>
        <w:spacing w:after="0" w:line="360" w:lineRule="exact"/>
        <w:ind w:firstLine="720"/>
        <w:jc w:val="both"/>
        <w:rPr>
          <w:bCs/>
          <w:sz w:val="28"/>
          <w:szCs w:val="28"/>
        </w:rPr>
      </w:pPr>
      <w:r w:rsidRPr="00905B07">
        <w:rPr>
          <w:bCs/>
          <w:sz w:val="28"/>
          <w:szCs w:val="28"/>
        </w:rPr>
        <w:t>1.</w:t>
      </w:r>
      <w:r w:rsidRPr="00905B07">
        <w:rPr>
          <w:bCs/>
          <w:sz w:val="28"/>
          <w:szCs w:val="28"/>
        </w:rPr>
        <w:tab/>
      </w:r>
      <w:r w:rsidRPr="005E29A3">
        <w:rPr>
          <w:bCs/>
          <w:sz w:val="28"/>
          <w:szCs w:val="28"/>
        </w:rPr>
        <w:t>Утвердить прилагаем</w:t>
      </w:r>
      <w:r w:rsidR="00BB45F2" w:rsidRPr="005E29A3">
        <w:rPr>
          <w:bCs/>
          <w:sz w:val="28"/>
          <w:szCs w:val="28"/>
        </w:rPr>
        <w:t xml:space="preserve">ый </w:t>
      </w:r>
      <w:r w:rsidR="00BB45F2" w:rsidRPr="005E29A3">
        <w:rPr>
          <w:sz w:val="28"/>
          <w:szCs w:val="28"/>
        </w:rPr>
        <w:t xml:space="preserve">Порядок </w:t>
      </w:r>
      <w:r w:rsidR="00466C2D" w:rsidRPr="00466C2D">
        <w:rPr>
          <w:sz w:val="28"/>
          <w:szCs w:val="28"/>
        </w:rPr>
        <w:t>консолидации в районном бюджете бюджетных средств, сэкономленных муниципальными заказчиками при осуществлении закупок товаров, работ, услуг для муниципальных нужд</w:t>
      </w:r>
      <w:r w:rsidR="00BB45F2" w:rsidRPr="00466C2D">
        <w:rPr>
          <w:bCs/>
          <w:sz w:val="28"/>
          <w:szCs w:val="28"/>
        </w:rPr>
        <w:t>.</w:t>
      </w:r>
    </w:p>
    <w:p w:rsidR="00160EF4" w:rsidRDefault="008507AE" w:rsidP="00160EF4">
      <w:pPr>
        <w:pStyle w:val="a3"/>
        <w:tabs>
          <w:tab w:val="left" w:pos="1134"/>
        </w:tabs>
        <w:spacing w:line="360" w:lineRule="exact"/>
        <w:ind w:right="27" w:firstLine="708"/>
        <w:rPr>
          <w:szCs w:val="28"/>
        </w:rPr>
      </w:pPr>
      <w:r>
        <w:rPr>
          <w:bCs/>
        </w:rPr>
        <w:t>2</w:t>
      </w:r>
      <w:r w:rsidRPr="007F23C5">
        <w:rPr>
          <w:bCs/>
        </w:rPr>
        <w:t>.</w:t>
      </w:r>
      <w:r w:rsidRPr="007F23C5">
        <w:rPr>
          <w:bCs/>
        </w:rPr>
        <w:tab/>
      </w:r>
      <w:r w:rsidRPr="007F23C5">
        <w:rPr>
          <w:bCs/>
          <w:szCs w:val="28"/>
        </w:rPr>
        <w:t>Опубликовать настоящее постановление</w:t>
      </w:r>
      <w:r>
        <w:rPr>
          <w:bCs/>
          <w:szCs w:val="28"/>
        </w:rPr>
        <w:t xml:space="preserve"> в бюллетене «Вестник Приморского района».</w:t>
      </w:r>
    </w:p>
    <w:p w:rsidR="008507AE" w:rsidRPr="00160EF4" w:rsidRDefault="00160EF4" w:rsidP="00160EF4">
      <w:pPr>
        <w:pStyle w:val="a3"/>
        <w:tabs>
          <w:tab w:val="left" w:pos="1134"/>
        </w:tabs>
        <w:spacing w:line="360" w:lineRule="exact"/>
        <w:ind w:right="27" w:firstLine="708"/>
        <w:rPr>
          <w:szCs w:val="28"/>
        </w:rPr>
      </w:pPr>
      <w:r>
        <w:rPr>
          <w:szCs w:val="28"/>
        </w:rPr>
        <w:t xml:space="preserve">3. Настоящее постановление вступает </w:t>
      </w:r>
      <w:r w:rsidRPr="007506F9">
        <w:rPr>
          <w:szCs w:val="28"/>
        </w:rPr>
        <w:t>в силу с момента его подписания</w:t>
      </w:r>
      <w:r w:rsidRPr="00905B07">
        <w:rPr>
          <w:szCs w:val="28"/>
        </w:rPr>
        <w:t>.</w:t>
      </w:r>
    </w:p>
    <w:p w:rsidR="008507AE" w:rsidRPr="00905B07" w:rsidRDefault="008507AE" w:rsidP="008507AE">
      <w:pPr>
        <w:pStyle w:val="a3"/>
        <w:tabs>
          <w:tab w:val="left" w:pos="1080"/>
        </w:tabs>
        <w:spacing w:line="360" w:lineRule="exact"/>
        <w:ind w:left="360" w:right="27"/>
        <w:rPr>
          <w:bCs/>
          <w:szCs w:val="28"/>
        </w:rPr>
      </w:pPr>
    </w:p>
    <w:p w:rsidR="008507AE" w:rsidRPr="00905B07" w:rsidRDefault="008507AE" w:rsidP="008507AE">
      <w:pPr>
        <w:pStyle w:val="a3"/>
        <w:spacing w:line="360" w:lineRule="exact"/>
        <w:ind w:right="28"/>
        <w:rPr>
          <w:szCs w:val="28"/>
        </w:rPr>
      </w:pPr>
    </w:p>
    <w:p w:rsidR="008507AE" w:rsidRPr="00905B07" w:rsidRDefault="008507AE" w:rsidP="008507AE">
      <w:pPr>
        <w:pStyle w:val="a3"/>
        <w:spacing w:line="360" w:lineRule="exact"/>
        <w:ind w:right="28"/>
      </w:pPr>
      <w:r w:rsidRPr="00905B07">
        <w:rPr>
          <w:szCs w:val="28"/>
        </w:rPr>
        <w:t>Глава муниципального образования</w:t>
      </w:r>
      <w:r w:rsidRPr="00905B07">
        <w:rPr>
          <w:szCs w:val="28"/>
        </w:rPr>
        <w:tab/>
      </w:r>
      <w:r w:rsidRPr="00905B07">
        <w:rPr>
          <w:szCs w:val="28"/>
        </w:rPr>
        <w:tab/>
      </w:r>
      <w:r w:rsidRPr="00905B07">
        <w:rPr>
          <w:szCs w:val="28"/>
        </w:rPr>
        <w:tab/>
      </w:r>
      <w:r w:rsidRPr="00905B07">
        <w:rPr>
          <w:szCs w:val="28"/>
        </w:rPr>
        <w:tab/>
        <w:t xml:space="preserve">         В.А. </w:t>
      </w:r>
      <w:proofErr w:type="spellStart"/>
      <w:r w:rsidRPr="00905B07">
        <w:rPr>
          <w:szCs w:val="28"/>
        </w:rPr>
        <w:t>Рудкина</w:t>
      </w:r>
      <w:proofErr w:type="spellEnd"/>
    </w:p>
    <w:p w:rsidR="008507AE" w:rsidRPr="00905B07" w:rsidRDefault="008507AE" w:rsidP="008507AE">
      <w:pPr>
        <w:pStyle w:val="a3"/>
        <w:ind w:left="420" w:right="27"/>
        <w:jc w:val="right"/>
      </w:pPr>
    </w:p>
    <w:p w:rsidR="008507AE" w:rsidRPr="00905B07" w:rsidRDefault="008507AE" w:rsidP="008507AE">
      <w:pPr>
        <w:pStyle w:val="a3"/>
        <w:ind w:left="420" w:right="27"/>
        <w:jc w:val="right"/>
      </w:pPr>
    </w:p>
    <w:p w:rsidR="008507AE" w:rsidRPr="00905B07" w:rsidRDefault="008507AE" w:rsidP="008507AE">
      <w:pPr>
        <w:pStyle w:val="a3"/>
        <w:ind w:left="420" w:right="27"/>
        <w:jc w:val="right"/>
      </w:pPr>
    </w:p>
    <w:p w:rsidR="008507AE" w:rsidRPr="00905B07" w:rsidRDefault="008507AE" w:rsidP="00BB45F2">
      <w:pPr>
        <w:pStyle w:val="a3"/>
        <w:ind w:left="4536" w:right="27"/>
        <w:jc w:val="right"/>
        <w:rPr>
          <w:szCs w:val="28"/>
        </w:rPr>
      </w:pPr>
      <w:r w:rsidRPr="00905B07">
        <w:br w:type="page"/>
      </w:r>
      <w:r>
        <w:rPr>
          <w:szCs w:val="28"/>
        </w:rPr>
        <w:lastRenderedPageBreak/>
        <w:t>Утвержден</w:t>
      </w:r>
    </w:p>
    <w:p w:rsidR="008507AE" w:rsidRPr="00905B07" w:rsidRDefault="008507AE" w:rsidP="00BB45F2">
      <w:pPr>
        <w:pStyle w:val="a3"/>
        <w:ind w:left="4500" w:right="27"/>
        <w:jc w:val="right"/>
        <w:rPr>
          <w:szCs w:val="28"/>
        </w:rPr>
      </w:pPr>
      <w:r w:rsidRPr="00905B07">
        <w:rPr>
          <w:szCs w:val="28"/>
        </w:rPr>
        <w:t>постановлением администрации</w:t>
      </w:r>
    </w:p>
    <w:p w:rsidR="008507AE" w:rsidRPr="00905B07" w:rsidRDefault="008507AE" w:rsidP="00BB45F2">
      <w:pPr>
        <w:pStyle w:val="a3"/>
        <w:ind w:left="4500" w:right="27"/>
        <w:jc w:val="right"/>
        <w:rPr>
          <w:szCs w:val="28"/>
        </w:rPr>
      </w:pPr>
      <w:r w:rsidRPr="00905B07">
        <w:rPr>
          <w:szCs w:val="28"/>
        </w:rPr>
        <w:t>муниципального образования</w:t>
      </w:r>
    </w:p>
    <w:p w:rsidR="008507AE" w:rsidRPr="00905B07" w:rsidRDefault="008507AE" w:rsidP="00BB45F2">
      <w:pPr>
        <w:pStyle w:val="a3"/>
        <w:ind w:left="4500" w:right="27"/>
        <w:jc w:val="right"/>
        <w:rPr>
          <w:szCs w:val="28"/>
        </w:rPr>
      </w:pPr>
      <w:r w:rsidRPr="00905B07">
        <w:rPr>
          <w:szCs w:val="28"/>
        </w:rPr>
        <w:t>«Приморский муниципальный район»</w:t>
      </w:r>
    </w:p>
    <w:p w:rsidR="008507AE" w:rsidRPr="00905B07" w:rsidRDefault="008507AE" w:rsidP="00BB45F2">
      <w:pPr>
        <w:pStyle w:val="a3"/>
        <w:ind w:left="4500" w:right="27"/>
        <w:jc w:val="right"/>
        <w:rPr>
          <w:bCs/>
          <w:szCs w:val="28"/>
        </w:rPr>
      </w:pPr>
      <w:r w:rsidRPr="00905B07">
        <w:rPr>
          <w:bCs/>
          <w:szCs w:val="28"/>
        </w:rPr>
        <w:t xml:space="preserve">от </w:t>
      </w:r>
      <w:r w:rsidR="00EF0A12">
        <w:rPr>
          <w:bCs/>
          <w:szCs w:val="28"/>
        </w:rPr>
        <w:t>28</w:t>
      </w:r>
      <w:r>
        <w:rPr>
          <w:bCs/>
          <w:szCs w:val="28"/>
        </w:rPr>
        <w:t xml:space="preserve"> </w:t>
      </w:r>
      <w:r w:rsidR="003F28C7">
        <w:rPr>
          <w:bCs/>
          <w:szCs w:val="28"/>
        </w:rPr>
        <w:t>декабря</w:t>
      </w:r>
      <w:r w:rsidR="00BB45F2">
        <w:rPr>
          <w:bCs/>
          <w:szCs w:val="28"/>
        </w:rPr>
        <w:t xml:space="preserve"> </w:t>
      </w:r>
      <w:r w:rsidRPr="00905B07">
        <w:rPr>
          <w:bCs/>
          <w:szCs w:val="28"/>
        </w:rPr>
        <w:t>201</w:t>
      </w:r>
      <w:r>
        <w:rPr>
          <w:bCs/>
          <w:szCs w:val="28"/>
        </w:rPr>
        <w:t>7</w:t>
      </w:r>
      <w:r w:rsidRPr="00905B07">
        <w:rPr>
          <w:bCs/>
          <w:szCs w:val="28"/>
        </w:rPr>
        <w:t xml:space="preserve"> года № </w:t>
      </w:r>
      <w:r w:rsidR="00EF0A12">
        <w:rPr>
          <w:bCs/>
          <w:szCs w:val="28"/>
        </w:rPr>
        <w:t>954</w:t>
      </w:r>
    </w:p>
    <w:p w:rsidR="00527436" w:rsidRDefault="008507AE" w:rsidP="00BB45F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7AE" w:rsidRDefault="008507AE" w:rsidP="00BB45F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27436" w:rsidRPr="00466C2D" w:rsidRDefault="00527436" w:rsidP="00527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29A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66C2D" w:rsidRPr="00466C2D">
        <w:rPr>
          <w:rFonts w:ascii="Times New Roman" w:hAnsi="Times New Roman" w:cs="Times New Roman"/>
          <w:sz w:val="28"/>
          <w:szCs w:val="28"/>
        </w:rPr>
        <w:t>консолидации в районном бюджете бюджетных средств, сэкономленных муниципальными заказчиками при осуществлении закупок товаров, работ, услуг для муниципальных нужд</w:t>
      </w:r>
    </w:p>
    <w:p w:rsidR="00527436" w:rsidRPr="00466C2D" w:rsidRDefault="00527436" w:rsidP="00527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436" w:rsidRPr="00527436" w:rsidRDefault="00527436" w:rsidP="00527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соответствии с Бюджетным </w:t>
      </w:r>
      <w:hyperlink r:id="rId8" w:history="1">
        <w:r w:rsidRPr="008507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507A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507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7AE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507AE" w:rsidRPr="008507AE">
        <w:rPr>
          <w:rFonts w:ascii="Times New Roman" w:hAnsi="Times New Roman" w:cs="Times New Roman"/>
          <w:sz w:val="28"/>
          <w:szCs w:val="28"/>
        </w:rPr>
        <w:t>№</w:t>
      </w:r>
      <w:r w:rsidRPr="008507AE">
        <w:rPr>
          <w:rFonts w:ascii="Times New Roman" w:hAnsi="Times New Roman" w:cs="Times New Roman"/>
          <w:sz w:val="28"/>
          <w:szCs w:val="28"/>
        </w:rPr>
        <w:t xml:space="preserve">44-ФЗ "О контрактной системе в сфере закупок товаров, работ, услуг </w:t>
      </w:r>
      <w:r w:rsidRPr="0052743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нужд" (далее - Федеральный закон </w:t>
      </w:r>
      <w:r w:rsidR="008507AE">
        <w:rPr>
          <w:rFonts w:ascii="Times New Roman" w:hAnsi="Times New Roman" w:cs="Times New Roman"/>
          <w:sz w:val="28"/>
          <w:szCs w:val="28"/>
        </w:rPr>
        <w:t>№</w:t>
      </w:r>
      <w:r w:rsidRPr="00527436">
        <w:rPr>
          <w:rFonts w:ascii="Times New Roman" w:hAnsi="Times New Roman" w:cs="Times New Roman"/>
          <w:sz w:val="28"/>
          <w:szCs w:val="28"/>
        </w:rPr>
        <w:t>44-ФЗ), оп</w:t>
      </w:r>
      <w:r>
        <w:rPr>
          <w:rFonts w:ascii="Times New Roman" w:hAnsi="Times New Roman" w:cs="Times New Roman"/>
          <w:sz w:val="28"/>
          <w:szCs w:val="28"/>
        </w:rPr>
        <w:t xml:space="preserve">ределяет правила </w:t>
      </w:r>
      <w:r w:rsidR="00466C2D" w:rsidRPr="00466C2D">
        <w:rPr>
          <w:rFonts w:ascii="Times New Roman" w:hAnsi="Times New Roman" w:cs="Times New Roman"/>
          <w:sz w:val="28"/>
          <w:szCs w:val="28"/>
        </w:rPr>
        <w:t xml:space="preserve">консолидации в районном бюджете бюджетных средств, сэкономленных муниципальными заказчиками при осуществлении закупок товаров, работ, услуг для муниципальных нужд </w:t>
      </w:r>
      <w:r w:rsidRPr="00527436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поставщиков (подрядчиков, исполнителей) (за исключением запроса котировок</w:t>
      </w:r>
      <w:r w:rsidR="002E014D">
        <w:rPr>
          <w:rFonts w:ascii="Times New Roman" w:hAnsi="Times New Roman" w:cs="Times New Roman"/>
          <w:sz w:val="28"/>
          <w:szCs w:val="28"/>
        </w:rPr>
        <w:t xml:space="preserve"> и запроса предложений</w:t>
      </w:r>
      <w:r w:rsidRPr="00527436">
        <w:rPr>
          <w:rFonts w:ascii="Times New Roman" w:hAnsi="Times New Roman" w:cs="Times New Roman"/>
          <w:sz w:val="28"/>
          <w:szCs w:val="28"/>
        </w:rPr>
        <w:t>).</w:t>
      </w:r>
    </w:p>
    <w:p w:rsidR="00527436" w:rsidRPr="00527436" w:rsidRDefault="00527436" w:rsidP="00527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Положения настоящего Порядка не распространяются на ассигнования </w:t>
      </w:r>
      <w:r w:rsidR="00C67B88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527436">
        <w:rPr>
          <w:rFonts w:ascii="Times New Roman" w:hAnsi="Times New Roman" w:cs="Times New Roman"/>
          <w:sz w:val="28"/>
          <w:szCs w:val="28"/>
        </w:rPr>
        <w:t>бюджета, предусмотренные:</w:t>
      </w:r>
    </w:p>
    <w:p w:rsidR="00527436" w:rsidRPr="00527436" w:rsidRDefault="00527436" w:rsidP="008507A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>за счет целевых межбюджетных трансфертов из других бюджетов бюджетной системы Российской Федерации и безвозмездных поступлений от юридических и физических лиц, имеющих целевое назначение;</w:t>
      </w:r>
    </w:p>
    <w:p w:rsidR="00527436" w:rsidRPr="00527436" w:rsidRDefault="00527436" w:rsidP="008507A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на осуществление расходов, в целях софинансирования которых </w:t>
      </w:r>
      <w:r w:rsidR="00C82BEB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C67B88">
        <w:rPr>
          <w:rFonts w:ascii="Times New Roman" w:hAnsi="Times New Roman" w:cs="Times New Roman"/>
          <w:sz w:val="28"/>
          <w:szCs w:val="28"/>
        </w:rPr>
        <w:t xml:space="preserve"> «Приморский муниципальный район»</w:t>
      </w:r>
      <w:r w:rsidRPr="00527436">
        <w:rPr>
          <w:rFonts w:ascii="Times New Roman" w:hAnsi="Times New Roman" w:cs="Times New Roman"/>
          <w:sz w:val="28"/>
          <w:szCs w:val="28"/>
        </w:rPr>
        <w:t xml:space="preserve"> предоставляются целевые межбюджетные трансферты из других бюджетов бюджетной системы Российской Федерации и безвозмездные поступления, имеющие целевое назначение;</w:t>
      </w:r>
    </w:p>
    <w:p w:rsidR="00527436" w:rsidRPr="00466C2D" w:rsidRDefault="00527436" w:rsidP="008507AE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C2D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за счет целевых средств </w:t>
      </w:r>
      <w:r w:rsidR="00466C2D" w:rsidRPr="00466C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66C2D">
        <w:rPr>
          <w:rFonts w:ascii="Times New Roman" w:hAnsi="Times New Roman" w:cs="Times New Roman"/>
          <w:sz w:val="28"/>
          <w:szCs w:val="28"/>
        </w:rPr>
        <w:t>дорожного фонда.</w:t>
      </w:r>
    </w:p>
    <w:p w:rsidR="00527436" w:rsidRPr="00527436" w:rsidRDefault="00527436" w:rsidP="00807C00">
      <w:pPr>
        <w:pStyle w:val="ConsPlusNormal"/>
        <w:tabs>
          <w:tab w:val="left" w:pos="851"/>
          <w:tab w:val="left" w:pos="993"/>
        </w:tabs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бюджетными средствами, </w:t>
      </w:r>
      <w:r w:rsidR="00343792" w:rsidRPr="00527436">
        <w:rPr>
          <w:rFonts w:ascii="Times New Roman" w:hAnsi="Times New Roman" w:cs="Times New Roman"/>
          <w:sz w:val="28"/>
          <w:szCs w:val="28"/>
        </w:rPr>
        <w:t>с</w:t>
      </w:r>
      <w:r w:rsidR="00343792">
        <w:rPr>
          <w:rFonts w:ascii="Times New Roman" w:hAnsi="Times New Roman" w:cs="Times New Roman"/>
          <w:sz w:val="28"/>
          <w:szCs w:val="28"/>
        </w:rPr>
        <w:t>э</w:t>
      </w:r>
      <w:r w:rsidR="00343792" w:rsidRPr="00527436">
        <w:rPr>
          <w:rFonts w:ascii="Times New Roman" w:hAnsi="Times New Roman" w:cs="Times New Roman"/>
          <w:sz w:val="28"/>
          <w:szCs w:val="28"/>
        </w:rPr>
        <w:t>кономленными</w:t>
      </w:r>
      <w:r w:rsidRPr="0052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527436">
        <w:rPr>
          <w:rFonts w:ascii="Times New Roman" w:hAnsi="Times New Roman" w:cs="Times New Roman"/>
          <w:sz w:val="28"/>
          <w:szCs w:val="28"/>
        </w:rPr>
        <w:t xml:space="preserve"> заказчиками при осуществлении закупок товаров, работ, услуг для </w:t>
      </w:r>
      <w:r w:rsidR="0044405D" w:rsidRPr="0044405D">
        <w:rPr>
          <w:rFonts w:ascii="Times New Roman" w:hAnsi="Times New Roman" w:cs="Times New Roman"/>
          <w:sz w:val="28"/>
          <w:szCs w:val="28"/>
        </w:rPr>
        <w:t>муниципальных</w:t>
      </w:r>
      <w:r w:rsidR="0044405D" w:rsidRPr="005E29A3">
        <w:rPr>
          <w:sz w:val="28"/>
          <w:szCs w:val="28"/>
        </w:rPr>
        <w:t xml:space="preserve"> </w:t>
      </w:r>
      <w:r w:rsidRPr="00527436">
        <w:rPr>
          <w:rFonts w:ascii="Times New Roman" w:hAnsi="Times New Roman" w:cs="Times New Roman"/>
          <w:sz w:val="28"/>
          <w:szCs w:val="28"/>
        </w:rPr>
        <w:t xml:space="preserve">нужд </w:t>
      </w:r>
      <w:r w:rsidR="0044405D">
        <w:rPr>
          <w:rFonts w:ascii="Times New Roman" w:hAnsi="Times New Roman" w:cs="Times New Roman"/>
          <w:sz w:val="28"/>
          <w:szCs w:val="28"/>
        </w:rPr>
        <w:t>кон</w:t>
      </w:r>
      <w:r w:rsidRPr="00527436">
        <w:rPr>
          <w:rFonts w:ascii="Times New Roman" w:hAnsi="Times New Roman" w:cs="Times New Roman"/>
          <w:sz w:val="28"/>
          <w:szCs w:val="28"/>
        </w:rPr>
        <w:t>курентными способами определения поставщиков (подрядчиков, исполнителей) (за исключением запроса котировок</w:t>
      </w:r>
      <w:r w:rsidR="002E014D">
        <w:rPr>
          <w:rFonts w:ascii="Times New Roman" w:hAnsi="Times New Roman" w:cs="Times New Roman"/>
          <w:sz w:val="28"/>
          <w:szCs w:val="28"/>
        </w:rPr>
        <w:t xml:space="preserve"> и запроса предложений</w:t>
      </w:r>
      <w:r w:rsidRPr="00527436">
        <w:rPr>
          <w:rFonts w:ascii="Times New Roman" w:hAnsi="Times New Roman" w:cs="Times New Roman"/>
          <w:sz w:val="28"/>
          <w:szCs w:val="28"/>
        </w:rPr>
        <w:t xml:space="preserve">), понимается разница между начальной (максимальной) ценой </w:t>
      </w:r>
      <w:r w:rsidR="003437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контракта, установленной в документации о закупке, и ценой </w:t>
      </w:r>
      <w:r w:rsidR="003437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контракта, заключенного по итогам осуществления закупки, скорректированной на возможное увеличение на 10 процентов цены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контракта в соответствии </w:t>
      </w:r>
      <w:r w:rsidRPr="00527436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hyperlink r:id="rId10" w:history="1">
        <w:r w:rsidRPr="00527436">
          <w:rPr>
            <w:rFonts w:ascii="Times New Roman" w:hAnsi="Times New Roman" w:cs="Times New Roman"/>
            <w:sz w:val="28"/>
            <w:szCs w:val="28"/>
          </w:rPr>
          <w:t>подпунктом "б" пункта 1 части 1 статьи 95</w:t>
        </w:r>
      </w:hyperlink>
      <w:r w:rsidRPr="0052743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7436">
        <w:rPr>
          <w:rFonts w:ascii="Times New Roman" w:hAnsi="Times New Roman" w:cs="Times New Roman"/>
          <w:sz w:val="28"/>
          <w:szCs w:val="28"/>
        </w:rPr>
        <w:t>44-ФЗ.</w:t>
      </w:r>
    </w:p>
    <w:p w:rsidR="00527436" w:rsidRPr="00527436" w:rsidRDefault="00527436" w:rsidP="00807C00">
      <w:pPr>
        <w:pStyle w:val="ConsPlusNormal"/>
        <w:tabs>
          <w:tab w:val="left" w:pos="851"/>
          <w:tab w:val="left" w:pos="993"/>
        </w:tabs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67B88">
        <w:rPr>
          <w:rFonts w:ascii="Times New Roman" w:hAnsi="Times New Roman" w:cs="Times New Roman"/>
          <w:sz w:val="28"/>
          <w:szCs w:val="28"/>
        </w:rPr>
        <w:t>, бюджетные учреждения</w:t>
      </w:r>
      <w:r w:rsidRPr="00527436">
        <w:rPr>
          <w:rFonts w:ascii="Times New Roman" w:hAnsi="Times New Roman" w:cs="Times New Roman"/>
          <w:sz w:val="28"/>
          <w:szCs w:val="28"/>
        </w:rPr>
        <w:t xml:space="preserve"> представляют вышестоящему главному распорядителю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 не позднее пяти рабочих дней после заключения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контракта </w:t>
      </w:r>
      <w:hyperlink w:anchor="P260" w:history="1">
        <w:r w:rsidRPr="00527436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527436">
        <w:rPr>
          <w:rFonts w:ascii="Times New Roman" w:hAnsi="Times New Roman" w:cs="Times New Roman"/>
          <w:sz w:val="28"/>
          <w:szCs w:val="28"/>
        </w:rPr>
        <w:t xml:space="preserve"> экономии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 по итогам проведения соответствующих процедур (далее - расчет экономии) согласно приложению к настоящему Порядку.</w:t>
      </w:r>
    </w:p>
    <w:p w:rsidR="00527436" w:rsidRPr="00527436" w:rsidRDefault="00527436" w:rsidP="00657130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7436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 не позднее пяти рабочих дней со дня предоставления получателем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67B88">
        <w:rPr>
          <w:rFonts w:ascii="Times New Roman" w:hAnsi="Times New Roman" w:cs="Times New Roman"/>
          <w:sz w:val="28"/>
          <w:szCs w:val="28"/>
        </w:rPr>
        <w:t>, бюджетным учреждением</w:t>
      </w:r>
      <w:r w:rsidRPr="00527436">
        <w:rPr>
          <w:rFonts w:ascii="Times New Roman" w:hAnsi="Times New Roman" w:cs="Times New Roman"/>
          <w:sz w:val="28"/>
          <w:szCs w:val="28"/>
        </w:rPr>
        <w:t xml:space="preserve"> расчета экономии (после заключения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контракта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бюджета) направляет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«Приморский муниципальный район»</w:t>
      </w:r>
      <w:r w:rsidRPr="00527436">
        <w:rPr>
          <w:rFonts w:ascii="Times New Roman" w:hAnsi="Times New Roman" w:cs="Times New Roman"/>
          <w:sz w:val="28"/>
          <w:szCs w:val="28"/>
        </w:rPr>
        <w:t xml:space="preserve"> предложения об уменьшении бюджетных ассигнований и</w:t>
      </w:r>
      <w:r w:rsidR="00C67B8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307D19">
        <w:rPr>
          <w:rFonts w:ascii="Times New Roman" w:hAnsi="Times New Roman" w:cs="Times New Roman"/>
          <w:sz w:val="28"/>
          <w:szCs w:val="28"/>
        </w:rPr>
        <w:t>с приложением копий расчетов экономии,  согласно приложению к настоящему порядку.</w:t>
      </w:r>
      <w:proofErr w:type="gramEnd"/>
    </w:p>
    <w:p w:rsidR="00657130" w:rsidRDefault="00657130" w:rsidP="00657130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52B7B" w:rsidRDefault="00527436" w:rsidP="00657130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21244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8507AE" w:rsidRPr="00721244"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муниципального образования «Приморский муниципальный район»</w:t>
      </w:r>
      <w:r w:rsidRPr="00721244">
        <w:rPr>
          <w:rFonts w:ascii="Times New Roman" w:hAnsi="Times New Roman" w:cs="Times New Roman"/>
          <w:b w:val="0"/>
          <w:sz w:val="28"/>
          <w:szCs w:val="28"/>
        </w:rPr>
        <w:t xml:space="preserve"> при отсутствии замечаний к предоставленным документам </w:t>
      </w:r>
      <w:r w:rsidR="002E014D">
        <w:rPr>
          <w:rFonts w:ascii="Times New Roman" w:hAnsi="Times New Roman" w:cs="Times New Roman"/>
          <w:b w:val="0"/>
          <w:sz w:val="28"/>
          <w:szCs w:val="28"/>
        </w:rPr>
        <w:t>учитывает</w:t>
      </w:r>
      <w:r w:rsidRPr="00721244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соответствующие изменения</w:t>
      </w:r>
      <w:r w:rsidR="002E014D">
        <w:rPr>
          <w:rFonts w:ascii="Times New Roman" w:hAnsi="Times New Roman" w:cs="Times New Roman"/>
          <w:b w:val="0"/>
          <w:sz w:val="28"/>
          <w:szCs w:val="28"/>
        </w:rPr>
        <w:t xml:space="preserve"> при подготовке</w:t>
      </w:r>
      <w:r w:rsidRPr="007212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1244" w:rsidRPr="00721244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2E014D">
        <w:rPr>
          <w:rFonts w:ascii="Times New Roman" w:hAnsi="Times New Roman" w:cs="Times New Roman"/>
          <w:b w:val="0"/>
          <w:sz w:val="28"/>
          <w:szCs w:val="28"/>
        </w:rPr>
        <w:t>а</w:t>
      </w:r>
      <w:r w:rsidR="00721244" w:rsidRPr="00721244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МО «Приморский муниципальный район» </w:t>
      </w:r>
      <w:r w:rsidR="000B26CD">
        <w:rPr>
          <w:rFonts w:ascii="Times New Roman" w:hAnsi="Times New Roman" w:cs="Times New Roman"/>
          <w:b w:val="0"/>
          <w:sz w:val="28"/>
          <w:szCs w:val="28"/>
        </w:rPr>
        <w:t>о</w:t>
      </w:r>
      <w:r w:rsidR="000B26CD" w:rsidRPr="008A6734">
        <w:rPr>
          <w:rFonts w:ascii="Times New Roman" w:hAnsi="Times New Roman" w:cs="Times New Roman"/>
          <w:sz w:val="28"/>
          <w:szCs w:val="28"/>
        </w:rPr>
        <w:t xml:space="preserve"> </w:t>
      </w:r>
      <w:r w:rsidR="000B26CD" w:rsidRPr="000B26CD">
        <w:rPr>
          <w:rFonts w:ascii="Times New Roman" w:hAnsi="Times New Roman" w:cs="Times New Roman"/>
          <w:b w:val="0"/>
          <w:sz w:val="28"/>
          <w:szCs w:val="28"/>
        </w:rPr>
        <w:t>внесении изменений и дополнений</w:t>
      </w:r>
      <w:r w:rsidR="000B26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6CD" w:rsidRPr="000B26C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E59A6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721244" w:rsidRPr="0072124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«Приморский муниципальный район» на </w:t>
      </w:r>
      <w:r w:rsidR="00721244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r w:rsidR="00721244" w:rsidRPr="00721244">
        <w:rPr>
          <w:rFonts w:ascii="Times New Roman" w:hAnsi="Times New Roman" w:cs="Times New Roman"/>
          <w:b w:val="0"/>
          <w:sz w:val="28"/>
          <w:szCs w:val="28"/>
        </w:rPr>
        <w:t xml:space="preserve"> год и план</w:t>
      </w:r>
      <w:r w:rsidR="001E59A6">
        <w:rPr>
          <w:rFonts w:ascii="Times New Roman" w:hAnsi="Times New Roman" w:cs="Times New Roman"/>
          <w:b w:val="0"/>
          <w:sz w:val="28"/>
          <w:szCs w:val="28"/>
        </w:rPr>
        <w:t>овый период</w:t>
      </w:r>
      <w:r w:rsidR="007212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7436" w:rsidRPr="00527436" w:rsidRDefault="00527436" w:rsidP="00527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436">
        <w:rPr>
          <w:rFonts w:ascii="Times New Roman" w:hAnsi="Times New Roman" w:cs="Times New Roman"/>
          <w:sz w:val="28"/>
          <w:szCs w:val="28"/>
        </w:rPr>
        <w:t xml:space="preserve">6. Ответственность за достоверность и своевременность представляемых расчетов экономии несут получатели и главные распорядители средств </w:t>
      </w:r>
      <w:r w:rsidR="008507AE">
        <w:rPr>
          <w:rFonts w:ascii="Times New Roman" w:hAnsi="Times New Roman" w:cs="Times New Roman"/>
          <w:sz w:val="28"/>
          <w:szCs w:val="28"/>
        </w:rPr>
        <w:t>районного</w:t>
      </w:r>
      <w:r w:rsidRPr="0052743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22B39" w:rsidRDefault="00022B39">
      <w:pPr>
        <w:rPr>
          <w:sz w:val="28"/>
          <w:szCs w:val="28"/>
        </w:rPr>
      </w:pPr>
    </w:p>
    <w:p w:rsidR="00160EF4" w:rsidRDefault="00160EF4">
      <w:pPr>
        <w:rPr>
          <w:sz w:val="28"/>
          <w:szCs w:val="28"/>
        </w:rPr>
      </w:pPr>
    </w:p>
    <w:p w:rsidR="007714E3" w:rsidRDefault="007714E3">
      <w:pPr>
        <w:rPr>
          <w:sz w:val="28"/>
          <w:szCs w:val="28"/>
        </w:rPr>
      </w:pPr>
    </w:p>
    <w:p w:rsidR="007714E3" w:rsidRDefault="007714E3">
      <w:pPr>
        <w:rPr>
          <w:sz w:val="28"/>
          <w:szCs w:val="28"/>
        </w:rPr>
      </w:pPr>
    </w:p>
    <w:p w:rsidR="007714E3" w:rsidRDefault="007714E3">
      <w:pPr>
        <w:rPr>
          <w:sz w:val="28"/>
          <w:szCs w:val="28"/>
        </w:rPr>
      </w:pPr>
    </w:p>
    <w:p w:rsidR="007714E3" w:rsidRDefault="007714E3">
      <w:pPr>
        <w:rPr>
          <w:sz w:val="28"/>
          <w:szCs w:val="28"/>
        </w:rPr>
      </w:pPr>
    </w:p>
    <w:p w:rsidR="00641E1F" w:rsidRDefault="00641E1F">
      <w:pPr>
        <w:rPr>
          <w:sz w:val="28"/>
          <w:szCs w:val="28"/>
        </w:rPr>
        <w:sectPr w:rsidR="00641E1F" w:rsidSect="00160E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1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"/>
        <w:gridCol w:w="142"/>
        <w:gridCol w:w="709"/>
        <w:gridCol w:w="917"/>
        <w:gridCol w:w="217"/>
        <w:gridCol w:w="1701"/>
        <w:gridCol w:w="762"/>
        <w:gridCol w:w="230"/>
        <w:gridCol w:w="709"/>
        <w:gridCol w:w="567"/>
        <w:gridCol w:w="567"/>
        <w:gridCol w:w="247"/>
        <w:gridCol w:w="461"/>
        <w:gridCol w:w="709"/>
        <w:gridCol w:w="851"/>
        <w:gridCol w:w="239"/>
        <w:gridCol w:w="896"/>
        <w:gridCol w:w="744"/>
        <w:gridCol w:w="106"/>
        <w:gridCol w:w="1559"/>
        <w:gridCol w:w="935"/>
        <w:gridCol w:w="1180"/>
        <w:gridCol w:w="12"/>
      </w:tblGrid>
      <w:tr w:rsidR="00641E1F" w:rsidRPr="00641E1F" w:rsidTr="00F27C5E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7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67" w:rsidRDefault="00040367" w:rsidP="00466C2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40367" w:rsidRDefault="00040367" w:rsidP="00466C2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66C2D" w:rsidRDefault="00641E1F" w:rsidP="00466C2D">
            <w:pPr>
              <w:jc w:val="right"/>
              <w:rPr>
                <w:sz w:val="18"/>
                <w:szCs w:val="18"/>
              </w:rPr>
            </w:pPr>
            <w:r w:rsidRPr="00641E1F">
              <w:rPr>
                <w:color w:val="000000"/>
                <w:sz w:val="18"/>
                <w:szCs w:val="18"/>
              </w:rPr>
              <w:t xml:space="preserve">Приложение к </w:t>
            </w:r>
            <w:r w:rsidRPr="00343792">
              <w:rPr>
                <w:color w:val="000000"/>
                <w:sz w:val="18"/>
                <w:szCs w:val="18"/>
              </w:rPr>
              <w:t>Порядку</w:t>
            </w:r>
            <w:r w:rsidRPr="00641E1F">
              <w:rPr>
                <w:color w:val="000000"/>
                <w:sz w:val="18"/>
                <w:szCs w:val="18"/>
              </w:rPr>
              <w:t xml:space="preserve"> </w:t>
            </w:r>
            <w:r w:rsidR="00466C2D" w:rsidRPr="00466C2D">
              <w:rPr>
                <w:sz w:val="18"/>
                <w:szCs w:val="18"/>
              </w:rPr>
              <w:t xml:space="preserve">консолидации в районном бюджете </w:t>
            </w:r>
          </w:p>
          <w:p w:rsidR="00466C2D" w:rsidRDefault="00466C2D" w:rsidP="00466C2D">
            <w:pPr>
              <w:jc w:val="right"/>
              <w:rPr>
                <w:sz w:val="18"/>
                <w:szCs w:val="18"/>
              </w:rPr>
            </w:pPr>
            <w:r w:rsidRPr="00466C2D">
              <w:rPr>
                <w:sz w:val="18"/>
                <w:szCs w:val="18"/>
              </w:rPr>
              <w:t xml:space="preserve">бюджетных средств, сэкономленных муниципальными заказчиками </w:t>
            </w:r>
          </w:p>
          <w:p w:rsidR="00641E1F" w:rsidRPr="00641E1F" w:rsidRDefault="00466C2D" w:rsidP="00466C2D">
            <w:pPr>
              <w:jc w:val="right"/>
              <w:rPr>
                <w:color w:val="000000"/>
                <w:sz w:val="18"/>
                <w:szCs w:val="18"/>
              </w:rPr>
            </w:pPr>
            <w:r w:rsidRPr="00466C2D">
              <w:rPr>
                <w:sz w:val="18"/>
                <w:szCs w:val="18"/>
              </w:rPr>
              <w:t>при осуществлении закупок товаров, работ, услуг для муниципальных нужд</w:t>
            </w:r>
          </w:p>
        </w:tc>
      </w:tr>
      <w:tr w:rsidR="00641E1F" w:rsidRPr="00641E1F" w:rsidTr="00641E1F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FF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5255E0" w:rsidRPr="00641E1F" w:rsidTr="006C12B3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5E0" w:rsidRPr="00641E1F" w:rsidRDefault="005255E0" w:rsidP="00641E1F">
            <w:pPr>
              <w:rPr>
                <w:color w:val="000000"/>
              </w:rPr>
            </w:pPr>
          </w:p>
        </w:tc>
        <w:tc>
          <w:tcPr>
            <w:tcW w:w="140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5E0" w:rsidRPr="00641E1F" w:rsidRDefault="005255E0" w:rsidP="00466C2D">
            <w:pPr>
              <w:jc w:val="center"/>
              <w:rPr>
                <w:b/>
                <w:color w:val="000000"/>
              </w:rPr>
            </w:pPr>
            <w:r w:rsidRPr="005255E0">
              <w:rPr>
                <w:b/>
                <w:color w:val="000000"/>
              </w:rPr>
              <w:t xml:space="preserve">Расчет  экономии средств </w:t>
            </w:r>
            <w:r w:rsidR="00466C2D">
              <w:rPr>
                <w:b/>
                <w:color w:val="000000"/>
              </w:rPr>
              <w:t xml:space="preserve">районного </w:t>
            </w:r>
            <w:r>
              <w:rPr>
                <w:b/>
                <w:color w:val="000000"/>
              </w:rPr>
              <w:t>бюджета по итогам осуществления закупок товаров, работ, услуг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5E0" w:rsidRPr="00641E1F" w:rsidRDefault="005255E0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gridAfter w:val="1"/>
          <w:wAfter w:w="12" w:type="dxa"/>
          <w:trHeight w:val="375"/>
        </w:trPr>
        <w:tc>
          <w:tcPr>
            <w:tcW w:w="137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  <w:r w:rsidRPr="00641E1F">
              <w:rPr>
                <w:color w:val="000000"/>
              </w:rPr>
              <w:t xml:space="preserve">Главный распорядитель средств районного </w:t>
            </w:r>
            <w:r w:rsidRPr="00A05148">
              <w:rPr>
                <w:color w:val="000000"/>
              </w:rPr>
              <w:t>б</w:t>
            </w:r>
            <w:r w:rsidRPr="00641E1F">
              <w:rPr>
                <w:color w:val="000000"/>
              </w:rPr>
              <w:t>юджета:__________________________________________________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gridAfter w:val="1"/>
          <w:wAfter w:w="12" w:type="dxa"/>
          <w:trHeight w:val="37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gridAfter w:val="1"/>
          <w:wAfter w:w="12" w:type="dxa"/>
          <w:trHeight w:val="375"/>
        </w:trPr>
        <w:tc>
          <w:tcPr>
            <w:tcW w:w="137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  <w:r w:rsidRPr="00641E1F">
              <w:rPr>
                <w:color w:val="000000"/>
              </w:rPr>
              <w:t>Получатель средств районного бюджета:_____________________________________________________________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gridAfter w:val="1"/>
          <w:wAfter w:w="12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59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rPr>
                <w:color w:val="000000"/>
              </w:rPr>
            </w:pPr>
          </w:p>
        </w:tc>
      </w:tr>
      <w:tr w:rsidR="00641E1F" w:rsidRPr="00641E1F" w:rsidTr="00641E1F">
        <w:trPr>
          <w:trHeight w:val="1560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41E1F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41E1F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  <w:szCs w:val="20"/>
              </w:rPr>
              <w:t>мун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41E1F">
              <w:rPr>
                <w:color w:val="000000"/>
                <w:sz w:val="20"/>
                <w:szCs w:val="20"/>
              </w:rPr>
              <w:t xml:space="preserve"> контракта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641E1F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641E1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41E1F">
              <w:rPr>
                <w:color w:val="000000"/>
                <w:sz w:val="20"/>
                <w:szCs w:val="20"/>
              </w:rPr>
              <w:t>онтракта</w:t>
            </w:r>
            <w:proofErr w:type="spell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Предмет </w:t>
            </w:r>
            <w:proofErr w:type="spellStart"/>
            <w:r w:rsidRPr="00641E1F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641E1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41E1F">
              <w:rPr>
                <w:color w:val="000000"/>
                <w:sz w:val="20"/>
                <w:szCs w:val="20"/>
              </w:rPr>
              <w:t>онтракта</w:t>
            </w:r>
            <w:proofErr w:type="spellEnd"/>
            <w:r w:rsidRPr="00641E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641E1F">
              <w:rPr>
                <w:color w:val="000000"/>
                <w:sz w:val="20"/>
                <w:szCs w:val="20"/>
              </w:rPr>
              <w:t>мун</w:t>
            </w:r>
            <w:proofErr w:type="gramStart"/>
            <w:r w:rsidRPr="00641E1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41E1F">
              <w:rPr>
                <w:color w:val="000000"/>
                <w:sz w:val="20"/>
                <w:szCs w:val="20"/>
              </w:rPr>
              <w:t>рограммы</w:t>
            </w:r>
            <w:proofErr w:type="spellEnd"/>
            <w:r w:rsidRPr="00641E1F">
              <w:rPr>
                <w:color w:val="000000"/>
                <w:sz w:val="20"/>
                <w:szCs w:val="20"/>
              </w:rPr>
              <w:t>, мероприятия, непрограммного направления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Муниципальная услуга (работа)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Коды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Доведенные ЛБО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Цена муниципального контракта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Возможное увеличение на 10% цены контракта по ст.95 №44-ФЗ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:rsidR="00641E1F" w:rsidRPr="00641E1F" w:rsidRDefault="00641E1F" w:rsidP="005255E0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 xml:space="preserve">Сумма экономии средств </w:t>
            </w:r>
            <w:r w:rsidR="005255E0">
              <w:rPr>
                <w:color w:val="000000"/>
                <w:sz w:val="20"/>
                <w:szCs w:val="20"/>
              </w:rPr>
              <w:t>районного</w:t>
            </w:r>
            <w:r w:rsidRPr="00641E1F">
              <w:rPr>
                <w:color w:val="000000"/>
                <w:sz w:val="20"/>
                <w:szCs w:val="20"/>
              </w:rPr>
              <w:t xml:space="preserve"> бюджета </w:t>
            </w:r>
          </w:p>
        </w:tc>
      </w:tr>
      <w:tr w:rsidR="00641E1F" w:rsidRPr="00641E1F" w:rsidTr="00641E1F">
        <w:trPr>
          <w:trHeight w:val="1410"/>
        </w:trPr>
        <w:tc>
          <w:tcPr>
            <w:tcW w:w="581" w:type="dxa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цена контракта</w:t>
            </w:r>
          </w:p>
        </w:tc>
        <w:tc>
          <w:tcPr>
            <w:tcW w:w="1559" w:type="dxa"/>
            <w:vMerge/>
            <w:vAlign w:val="center"/>
            <w:hideMark/>
          </w:tcPr>
          <w:p w:rsidR="00641E1F" w:rsidRPr="00641E1F" w:rsidRDefault="00641E1F" w:rsidP="00641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гр.16=гр.13-(гр.14*гр.15)</w:t>
            </w:r>
          </w:p>
        </w:tc>
      </w:tr>
      <w:tr w:rsidR="00641E1F" w:rsidRPr="00641E1F" w:rsidTr="00641E1F">
        <w:trPr>
          <w:trHeight w:val="315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center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41E1F" w:rsidRPr="00641E1F" w:rsidTr="00641E1F">
        <w:trPr>
          <w:trHeight w:val="315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641E1F" w:rsidRPr="00641E1F" w:rsidRDefault="00641E1F" w:rsidP="00641E1F">
            <w:pPr>
              <w:jc w:val="center"/>
              <w:rPr>
                <w:color w:val="000000"/>
                <w:sz w:val="20"/>
                <w:szCs w:val="20"/>
              </w:rPr>
            </w:pPr>
            <w:r w:rsidRPr="00641E1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714E3" w:rsidRDefault="00641E1F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60EF4" w:rsidRPr="00DE772B" w:rsidRDefault="00A17CD6">
      <w:pPr>
        <w:rPr>
          <w:sz w:val="20"/>
          <w:szCs w:val="20"/>
        </w:rPr>
      </w:pPr>
      <w:r>
        <w:rPr>
          <w:sz w:val="20"/>
          <w:szCs w:val="20"/>
        </w:rPr>
        <w:t>Главный распорядитель средств районного бюджета</w:t>
      </w:r>
      <w:r w:rsidR="00DE772B" w:rsidRPr="00DE772B">
        <w:rPr>
          <w:sz w:val="20"/>
          <w:szCs w:val="20"/>
        </w:rPr>
        <w:t>:</w:t>
      </w:r>
      <w:r w:rsidR="00503FE4">
        <w:rPr>
          <w:sz w:val="20"/>
          <w:szCs w:val="20"/>
        </w:rPr>
        <w:t xml:space="preserve">   </w:t>
      </w:r>
      <w:r w:rsidR="00DE772B" w:rsidRPr="00DE772B">
        <w:rPr>
          <w:sz w:val="20"/>
          <w:szCs w:val="20"/>
        </w:rPr>
        <w:t>___________</w:t>
      </w:r>
      <w:r w:rsidR="00503FE4">
        <w:rPr>
          <w:sz w:val="20"/>
          <w:szCs w:val="20"/>
        </w:rPr>
        <w:t xml:space="preserve">      </w:t>
      </w:r>
      <w:r w:rsidR="00DE772B" w:rsidRPr="00DE772B">
        <w:rPr>
          <w:sz w:val="20"/>
          <w:szCs w:val="20"/>
        </w:rPr>
        <w:t>___________</w:t>
      </w:r>
      <w:r w:rsidR="00503FE4">
        <w:rPr>
          <w:sz w:val="20"/>
          <w:szCs w:val="20"/>
        </w:rPr>
        <w:t>_</w:t>
      </w:r>
      <w:r w:rsidR="00DE772B" w:rsidRPr="00DE772B">
        <w:rPr>
          <w:sz w:val="20"/>
          <w:szCs w:val="20"/>
        </w:rPr>
        <w:t>_______</w:t>
      </w:r>
    </w:p>
    <w:p w:rsidR="00DE772B" w:rsidRDefault="00503F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(подпись)              (расшифровка)                    </w:t>
      </w:r>
    </w:p>
    <w:p w:rsidR="00A17CD6" w:rsidRDefault="00A17CD6">
      <w:pPr>
        <w:rPr>
          <w:sz w:val="20"/>
          <w:szCs w:val="20"/>
        </w:rPr>
      </w:pPr>
    </w:p>
    <w:p w:rsidR="00DE772B" w:rsidRPr="00DE772B" w:rsidRDefault="00E30D49">
      <w:pPr>
        <w:rPr>
          <w:sz w:val="20"/>
          <w:szCs w:val="20"/>
        </w:rPr>
      </w:pPr>
      <w:r>
        <w:rPr>
          <w:sz w:val="20"/>
          <w:szCs w:val="20"/>
        </w:rPr>
        <w:t>Получатель средств районного бюджета</w:t>
      </w:r>
      <w:r w:rsidR="00DE772B" w:rsidRPr="00DE772B">
        <w:rPr>
          <w:sz w:val="20"/>
          <w:szCs w:val="20"/>
        </w:rPr>
        <w:t xml:space="preserve">: </w:t>
      </w:r>
      <w:r w:rsidR="00503FE4">
        <w:rPr>
          <w:sz w:val="20"/>
          <w:szCs w:val="20"/>
        </w:rPr>
        <w:t xml:space="preserve">   </w:t>
      </w:r>
      <w:r w:rsidR="00DE772B" w:rsidRPr="00DE772B">
        <w:rPr>
          <w:sz w:val="20"/>
          <w:szCs w:val="20"/>
        </w:rPr>
        <w:t>____________</w:t>
      </w:r>
      <w:r w:rsidR="00503FE4">
        <w:rPr>
          <w:sz w:val="20"/>
          <w:szCs w:val="20"/>
        </w:rPr>
        <w:t xml:space="preserve">      </w:t>
      </w:r>
      <w:r w:rsidR="00DE772B" w:rsidRPr="00DE772B">
        <w:rPr>
          <w:sz w:val="20"/>
          <w:szCs w:val="20"/>
        </w:rPr>
        <w:t>______</w:t>
      </w:r>
      <w:r w:rsidR="00503FE4">
        <w:rPr>
          <w:sz w:val="20"/>
          <w:szCs w:val="20"/>
        </w:rPr>
        <w:t>___</w:t>
      </w:r>
      <w:r w:rsidR="00DE772B" w:rsidRPr="00DE772B">
        <w:rPr>
          <w:sz w:val="20"/>
          <w:szCs w:val="20"/>
        </w:rPr>
        <w:t>___________</w:t>
      </w:r>
    </w:p>
    <w:p w:rsidR="00160EF4" w:rsidRPr="00DE772B" w:rsidRDefault="00503F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(подпись)               (расшифровка)</w:t>
      </w:r>
    </w:p>
    <w:p w:rsidR="00160EF4" w:rsidRPr="00527436" w:rsidRDefault="00160EF4">
      <w:pPr>
        <w:rPr>
          <w:sz w:val="28"/>
          <w:szCs w:val="28"/>
        </w:rPr>
      </w:pPr>
    </w:p>
    <w:sectPr w:rsidR="00160EF4" w:rsidRPr="00527436" w:rsidSect="00641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1BA"/>
    <w:multiLevelType w:val="hybridMultilevel"/>
    <w:tmpl w:val="DC2C16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36"/>
    <w:rsid w:val="00022B39"/>
    <w:rsid w:val="00040367"/>
    <w:rsid w:val="00085D33"/>
    <w:rsid w:val="000B26CD"/>
    <w:rsid w:val="00152B7B"/>
    <w:rsid w:val="00160EF4"/>
    <w:rsid w:val="001E59A6"/>
    <w:rsid w:val="002526A5"/>
    <w:rsid w:val="002527B5"/>
    <w:rsid w:val="002C5666"/>
    <w:rsid w:val="002E014D"/>
    <w:rsid w:val="00307D19"/>
    <w:rsid w:val="00343792"/>
    <w:rsid w:val="003463C4"/>
    <w:rsid w:val="003B0461"/>
    <w:rsid w:val="003F28C7"/>
    <w:rsid w:val="0044405D"/>
    <w:rsid w:val="00466C2D"/>
    <w:rsid w:val="004B5D72"/>
    <w:rsid w:val="00503FE4"/>
    <w:rsid w:val="005052A4"/>
    <w:rsid w:val="005255E0"/>
    <w:rsid w:val="00527436"/>
    <w:rsid w:val="00540289"/>
    <w:rsid w:val="005908DA"/>
    <w:rsid w:val="005D46DA"/>
    <w:rsid w:val="005E29A3"/>
    <w:rsid w:val="005F3993"/>
    <w:rsid w:val="00641E1F"/>
    <w:rsid w:val="00657130"/>
    <w:rsid w:val="006A6C98"/>
    <w:rsid w:val="006F02D6"/>
    <w:rsid w:val="00721244"/>
    <w:rsid w:val="007714E3"/>
    <w:rsid w:val="007C186C"/>
    <w:rsid w:val="007D25A2"/>
    <w:rsid w:val="00807C00"/>
    <w:rsid w:val="00820946"/>
    <w:rsid w:val="008507AE"/>
    <w:rsid w:val="00852513"/>
    <w:rsid w:val="00877B1E"/>
    <w:rsid w:val="008C682E"/>
    <w:rsid w:val="008D5155"/>
    <w:rsid w:val="009D66BC"/>
    <w:rsid w:val="00A05148"/>
    <w:rsid w:val="00A17CD6"/>
    <w:rsid w:val="00AE59FE"/>
    <w:rsid w:val="00AF359F"/>
    <w:rsid w:val="00B344BE"/>
    <w:rsid w:val="00BB45F2"/>
    <w:rsid w:val="00BC1800"/>
    <w:rsid w:val="00C23421"/>
    <w:rsid w:val="00C305D7"/>
    <w:rsid w:val="00C67B88"/>
    <w:rsid w:val="00C82BEB"/>
    <w:rsid w:val="00CD5577"/>
    <w:rsid w:val="00CE00D5"/>
    <w:rsid w:val="00D52430"/>
    <w:rsid w:val="00D96988"/>
    <w:rsid w:val="00DE772B"/>
    <w:rsid w:val="00E30D49"/>
    <w:rsid w:val="00E57739"/>
    <w:rsid w:val="00ED36D5"/>
    <w:rsid w:val="00EF0A12"/>
    <w:rsid w:val="00F27C5E"/>
    <w:rsid w:val="00F720E9"/>
    <w:rsid w:val="00F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27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8507AE"/>
    <w:pPr>
      <w:ind w:right="-62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507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0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507A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50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5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212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rsid w:val="000B26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27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8507AE"/>
    <w:pPr>
      <w:ind w:right="-62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507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507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0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507AE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507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5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212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rsid w:val="000B2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93A761FE9BF1CFC9D4E962442F8121F131D4AC49F895A6B3DCA65AD3p5z1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93A761FE9BF1CFC9D4E962442F8121F13BD7A841F095A6B3DCA65AD3512A2D7A9B2C7D4FF8AF06p2z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93A761FE9BF1CFC9D4E962442F8121F13BD7A841F095A6B3DCA65AD3p5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Преображенская Т.Ф.</dc:creator>
  <cp:lastModifiedBy>Преображенская Т.Ф.</cp:lastModifiedBy>
  <cp:revision>3</cp:revision>
  <cp:lastPrinted>2017-12-27T06:08:00Z</cp:lastPrinted>
  <dcterms:created xsi:type="dcterms:W3CDTF">2017-12-29T06:56:00Z</dcterms:created>
  <dcterms:modified xsi:type="dcterms:W3CDTF">2017-12-29T06:57:00Z</dcterms:modified>
</cp:coreProperties>
</file>